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3F" w:rsidRDefault="00320CA5">
      <w:bookmarkStart w:id="0" w:name="_GoBack"/>
      <w:bookmarkEnd w:id="0"/>
      <w:r>
        <w:rPr>
          <w:i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-429260</wp:posOffset>
            </wp:positionV>
            <wp:extent cx="1848485" cy="930910"/>
            <wp:effectExtent l="0" t="0" r="0" b="2540"/>
            <wp:wrapThrough wrapText="bothSides">
              <wp:wrapPolygon edited="0">
                <wp:start x="0" y="0"/>
                <wp:lineTo x="0" y="21217"/>
                <wp:lineTo x="21370" y="21217"/>
                <wp:lineTo x="2137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D3F" w:rsidRDefault="00AE2D3F"/>
    <w:p w:rsidR="00B8143F" w:rsidRPr="004123E3" w:rsidRDefault="007C7409">
      <w:pPr>
        <w:rPr>
          <w:i/>
        </w:rPr>
      </w:pPr>
      <w:r>
        <w:rPr>
          <w:i/>
        </w:rPr>
        <w:t>Christiane Bundschuh-Schramm zusammen mit den Quartiersseelsorger:innen</w:t>
      </w:r>
    </w:p>
    <w:p w:rsidR="00B8143F" w:rsidRPr="00B8143F" w:rsidRDefault="00B8143F">
      <w:pPr>
        <w:rPr>
          <w:b/>
        </w:rPr>
      </w:pPr>
    </w:p>
    <w:p w:rsidR="00B8143F" w:rsidRDefault="00B8143F"/>
    <w:p w:rsidR="00AE2D3F" w:rsidRPr="00B8143F" w:rsidRDefault="00AE2D3F">
      <w:pPr>
        <w:rPr>
          <w:b/>
          <w:sz w:val="32"/>
          <w:szCs w:val="32"/>
        </w:rPr>
      </w:pPr>
      <w:r w:rsidRPr="00B8143F">
        <w:rPr>
          <w:b/>
          <w:sz w:val="32"/>
          <w:szCs w:val="32"/>
        </w:rPr>
        <w:t>Thema</w:t>
      </w:r>
      <w:r w:rsidR="001A6720">
        <w:rPr>
          <w:b/>
          <w:sz w:val="32"/>
          <w:szCs w:val="32"/>
        </w:rPr>
        <w:t xml:space="preserve"> Pastoral im und für den Sozialraum</w:t>
      </w:r>
    </w:p>
    <w:p w:rsidR="00AE2D3F" w:rsidRDefault="00AE2D3F"/>
    <w:p w:rsidR="00AE2D3F" w:rsidRDefault="00AE2D3F"/>
    <w:p w:rsidR="00AE2D3F" w:rsidRPr="00B8143F" w:rsidRDefault="001A6720">
      <w:pPr>
        <w:rPr>
          <w:b/>
        </w:rPr>
      </w:pPr>
      <w:r>
        <w:rPr>
          <w:b/>
        </w:rPr>
        <w:t>Zuordnung zu Schwerpunkt 3 Vernetzte Diakonie</w:t>
      </w:r>
    </w:p>
    <w:p w:rsidR="00AE2D3F" w:rsidRDefault="00AE2D3F"/>
    <w:p w:rsidR="0079502E" w:rsidRDefault="004123E3">
      <w:r>
        <w:t>Einsatzmöglichkeit:</w:t>
      </w:r>
      <w:r w:rsidR="001A6720">
        <w:t xml:space="preserve"> Sitzungen, Klausuren, Gruppen</w:t>
      </w:r>
      <w:r w:rsidR="007C7409">
        <w:t>, Kreise, Bildungsveranstaltunge</w:t>
      </w:r>
      <w:r w:rsidR="001A6720">
        <w:t>n</w:t>
      </w:r>
    </w:p>
    <w:p w:rsidR="00AE2D3F" w:rsidRDefault="00AE2D3F"/>
    <w:p w:rsidR="00320CA5" w:rsidRDefault="00320CA5"/>
    <w:tbl>
      <w:tblPr>
        <w:tblStyle w:val="Tabellenraster"/>
        <w:tblW w:w="992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4820"/>
        <w:gridCol w:w="3172"/>
      </w:tblGrid>
      <w:tr w:rsidR="00B8143F" w:rsidTr="00B8143F">
        <w:tc>
          <w:tcPr>
            <w:tcW w:w="9920" w:type="dxa"/>
            <w:gridSpan w:val="3"/>
          </w:tcPr>
          <w:p w:rsidR="00B8143F" w:rsidRPr="00B8143F" w:rsidRDefault="00B8143F" w:rsidP="00B8143F">
            <w:pPr>
              <w:rPr>
                <w:b/>
              </w:rPr>
            </w:pPr>
            <w:r w:rsidRPr="00B8143F">
              <w:rPr>
                <w:b/>
              </w:rPr>
              <w:t>Ziele</w:t>
            </w:r>
          </w:p>
          <w:p w:rsidR="00B8143F" w:rsidRPr="001A6720" w:rsidRDefault="001A6720" w:rsidP="00B8143F">
            <w:pPr>
              <w:pStyle w:val="Listenabsatz"/>
              <w:numPr>
                <w:ilvl w:val="0"/>
                <w:numId w:val="2"/>
              </w:numPr>
            </w:pPr>
            <w:r w:rsidRPr="001A6720">
              <w:t>Der Sozialraum ist eine wahrnehmbare Größe und die Teilnehmenden haben ein Gespür dafür.</w:t>
            </w:r>
          </w:p>
          <w:p w:rsidR="001A6720" w:rsidRPr="001A6720" w:rsidRDefault="001A6720" w:rsidP="00B8143F">
            <w:pPr>
              <w:pStyle w:val="Listenabsatz"/>
              <w:numPr>
                <w:ilvl w:val="0"/>
                <w:numId w:val="2"/>
              </w:numPr>
            </w:pPr>
            <w:r w:rsidRPr="001A6720">
              <w:t>Der Sozia</w:t>
            </w:r>
            <w:r w:rsidR="00097CE6">
              <w:t>lraum wird als Raum identifiziert</w:t>
            </w:r>
            <w:r w:rsidRPr="001A6720">
              <w:t>, in dem sich das Evangelium ereignet.</w:t>
            </w:r>
          </w:p>
          <w:p w:rsidR="001A6720" w:rsidRPr="00B8143F" w:rsidRDefault="00097CE6" w:rsidP="00B8143F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>
              <w:t>Die Teilnehmenden haben eine Vorstellung, wie sie ihren kirchlichen Ort auf den Sozialraum beziehen können</w:t>
            </w:r>
            <w:r w:rsidR="001A6720" w:rsidRPr="001A6720">
              <w:t>.</w:t>
            </w:r>
          </w:p>
        </w:tc>
      </w:tr>
      <w:tr w:rsidR="00AE2D3F" w:rsidTr="00B8143F">
        <w:tc>
          <w:tcPr>
            <w:tcW w:w="9920" w:type="dxa"/>
            <w:gridSpan w:val="3"/>
          </w:tcPr>
          <w:p w:rsidR="00AE2D3F" w:rsidRPr="00AE2D3F" w:rsidRDefault="00AE2D3F" w:rsidP="00AE2D3F">
            <w:pPr>
              <w:rPr>
                <w:b/>
              </w:rPr>
            </w:pPr>
            <w:r w:rsidRPr="00AE2D3F">
              <w:rPr>
                <w:b/>
              </w:rPr>
              <w:t>Vorbereitung</w:t>
            </w:r>
          </w:p>
          <w:p w:rsidR="00AE2D3F" w:rsidRDefault="001A6720">
            <w:r>
              <w:t xml:space="preserve">Eine Erkundung des Sozialraums muss entsprechend des gewählten Modus </w:t>
            </w:r>
            <w:r w:rsidR="00E855F8">
              <w:t xml:space="preserve">gut </w:t>
            </w:r>
            <w:r>
              <w:t>vorbereitet werden.</w:t>
            </w:r>
          </w:p>
        </w:tc>
      </w:tr>
      <w:tr w:rsidR="00AE2D3F" w:rsidTr="00B8143F">
        <w:tc>
          <w:tcPr>
            <w:tcW w:w="9920" w:type="dxa"/>
            <w:gridSpan w:val="3"/>
          </w:tcPr>
          <w:p w:rsidR="00AE2D3F" w:rsidRPr="00AE2D3F" w:rsidRDefault="00AE2D3F" w:rsidP="00AE2D3F">
            <w:pPr>
              <w:rPr>
                <w:b/>
              </w:rPr>
            </w:pPr>
            <w:r w:rsidRPr="00AE2D3F">
              <w:rPr>
                <w:b/>
              </w:rPr>
              <w:t>Material</w:t>
            </w:r>
          </w:p>
          <w:p w:rsidR="00AE2D3F" w:rsidRDefault="0053179E" w:rsidP="00AE2D3F">
            <w:pPr>
              <w:pStyle w:val="Listenabsatz"/>
              <w:numPr>
                <w:ilvl w:val="0"/>
                <w:numId w:val="1"/>
              </w:numPr>
            </w:pPr>
            <w:r>
              <w:t>Je nach Wahl der Möglichkeiten siehe unten</w:t>
            </w:r>
          </w:p>
        </w:tc>
      </w:tr>
      <w:tr w:rsidR="00AE2D3F" w:rsidTr="00B8143F">
        <w:tc>
          <w:tcPr>
            <w:tcW w:w="9920" w:type="dxa"/>
            <w:gridSpan w:val="3"/>
            <w:tcBorders>
              <w:bottom w:val="dotted" w:sz="2" w:space="0" w:color="auto"/>
            </w:tcBorders>
          </w:tcPr>
          <w:p w:rsidR="00AE2D3F" w:rsidRPr="00AE2D3F" w:rsidRDefault="00AE2D3F" w:rsidP="00AE2D3F">
            <w:pPr>
              <w:rPr>
                <w:b/>
              </w:rPr>
            </w:pPr>
            <w:r w:rsidRPr="00AE2D3F">
              <w:rPr>
                <w:b/>
              </w:rPr>
              <w:t>Dauer</w:t>
            </w:r>
          </w:p>
          <w:p w:rsidR="00AE2D3F" w:rsidRDefault="0053179E">
            <w:r>
              <w:t>Je nach Wahl der Möglichkeiten.</w:t>
            </w:r>
          </w:p>
        </w:tc>
      </w:tr>
      <w:tr w:rsidR="00B8143F" w:rsidTr="00B8143F">
        <w:tc>
          <w:tcPr>
            <w:tcW w:w="9920" w:type="dxa"/>
            <w:gridSpan w:val="3"/>
            <w:tcBorders>
              <w:left w:val="nil"/>
              <w:right w:val="nil"/>
            </w:tcBorders>
          </w:tcPr>
          <w:p w:rsidR="00B8143F" w:rsidRDefault="00B8143F"/>
        </w:tc>
      </w:tr>
      <w:tr w:rsidR="00AE2D3F" w:rsidRPr="00B8143F" w:rsidTr="00B8143F">
        <w:tc>
          <w:tcPr>
            <w:tcW w:w="1928" w:type="dxa"/>
          </w:tcPr>
          <w:p w:rsidR="00AE2D3F" w:rsidRPr="00B8143F" w:rsidRDefault="00B8143F" w:rsidP="00B8143F">
            <w:pPr>
              <w:jc w:val="center"/>
              <w:rPr>
                <w:b/>
              </w:rPr>
            </w:pPr>
            <w:r w:rsidRPr="00B8143F">
              <w:rPr>
                <w:b/>
              </w:rPr>
              <w:t>Zeit</w:t>
            </w:r>
          </w:p>
        </w:tc>
        <w:tc>
          <w:tcPr>
            <w:tcW w:w="4820" w:type="dxa"/>
          </w:tcPr>
          <w:p w:rsidR="00AE2D3F" w:rsidRPr="00B8143F" w:rsidRDefault="00B8143F" w:rsidP="00B8143F">
            <w:pPr>
              <w:jc w:val="center"/>
              <w:rPr>
                <w:b/>
              </w:rPr>
            </w:pPr>
            <w:r w:rsidRPr="00B8143F">
              <w:rPr>
                <w:b/>
              </w:rPr>
              <w:t>Inhalt</w:t>
            </w:r>
          </w:p>
        </w:tc>
        <w:tc>
          <w:tcPr>
            <w:tcW w:w="3172" w:type="dxa"/>
          </w:tcPr>
          <w:p w:rsidR="00AE2D3F" w:rsidRPr="00B8143F" w:rsidRDefault="00B8143F" w:rsidP="00B8143F">
            <w:pPr>
              <w:jc w:val="center"/>
              <w:rPr>
                <w:b/>
              </w:rPr>
            </w:pPr>
            <w:r w:rsidRPr="00B8143F">
              <w:rPr>
                <w:b/>
              </w:rPr>
              <w:t>Material etc.</w:t>
            </w:r>
          </w:p>
        </w:tc>
      </w:tr>
      <w:tr w:rsidR="00AE2D3F" w:rsidTr="00B8143F">
        <w:tc>
          <w:tcPr>
            <w:tcW w:w="1928" w:type="dxa"/>
          </w:tcPr>
          <w:p w:rsidR="00AE2D3F" w:rsidRDefault="00AE2D3F" w:rsidP="000137B4"/>
        </w:tc>
        <w:tc>
          <w:tcPr>
            <w:tcW w:w="4820" w:type="dxa"/>
          </w:tcPr>
          <w:p w:rsidR="00AE2D3F" w:rsidRPr="001A6720" w:rsidRDefault="001A6720" w:rsidP="000137B4">
            <w:pPr>
              <w:rPr>
                <w:b/>
              </w:rPr>
            </w:pPr>
            <w:r w:rsidRPr="001A6720">
              <w:rPr>
                <w:b/>
              </w:rPr>
              <w:t>Schritt 1:</w:t>
            </w:r>
          </w:p>
          <w:p w:rsidR="001A6720" w:rsidRDefault="001A6720" w:rsidP="000137B4">
            <w:r w:rsidRPr="001A6720">
              <w:rPr>
                <w:b/>
              </w:rPr>
              <w:t>Den S</w:t>
            </w:r>
            <w:r w:rsidR="004105EE">
              <w:rPr>
                <w:b/>
              </w:rPr>
              <w:t>ozialraum erkunden</w:t>
            </w:r>
          </w:p>
        </w:tc>
        <w:tc>
          <w:tcPr>
            <w:tcW w:w="3172" w:type="dxa"/>
          </w:tcPr>
          <w:p w:rsidR="00AE2D3F" w:rsidRDefault="00AE2D3F" w:rsidP="000137B4"/>
        </w:tc>
      </w:tr>
      <w:tr w:rsidR="00AE2D3F" w:rsidTr="00B8143F">
        <w:tc>
          <w:tcPr>
            <w:tcW w:w="1928" w:type="dxa"/>
          </w:tcPr>
          <w:p w:rsidR="00AE2D3F" w:rsidRDefault="00404FAD" w:rsidP="000137B4">
            <w:r>
              <w:t>30 min Zeit für Begegnung und Besichtigung</w:t>
            </w:r>
          </w:p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>
            <w:r>
              <w:t>60 min</w:t>
            </w:r>
          </w:p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7203F6" w:rsidRDefault="007203F6" w:rsidP="000137B4"/>
          <w:p w:rsidR="007203F6" w:rsidRDefault="007203F6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>
            <w:r>
              <w:t>Ca. 2 Stunden</w:t>
            </w:r>
          </w:p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  <w:p w:rsidR="00404FAD" w:rsidRDefault="00404FAD" w:rsidP="000137B4"/>
        </w:tc>
        <w:tc>
          <w:tcPr>
            <w:tcW w:w="4820" w:type="dxa"/>
          </w:tcPr>
          <w:p w:rsidR="00AE2D3F" w:rsidRDefault="001A6720" w:rsidP="000137B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Möglichkeit A:</w:t>
            </w:r>
          </w:p>
          <w:p w:rsidR="0053179E" w:rsidRDefault="0053179E" w:rsidP="000137B4">
            <w:pPr>
              <w:rPr>
                <w:u w:val="single"/>
              </w:rPr>
            </w:pPr>
            <w:r>
              <w:rPr>
                <w:u w:val="single"/>
              </w:rPr>
              <w:t>Verschiedene Orte im Sozialraum als Sitzungsort</w:t>
            </w:r>
          </w:p>
          <w:p w:rsidR="001A6720" w:rsidRDefault="001A6720" w:rsidP="000137B4">
            <w:r>
              <w:t>Über einen längeren Zeitraum findet jede KGR-Sitzung oder jedes Treffen der Gruppe an einem anderen Ort im Sozialraum statt. Es kommt dabei zu</w:t>
            </w:r>
            <w:r w:rsidR="00E855F8">
              <w:t>r</w:t>
            </w:r>
            <w:r>
              <w:t xml:space="preserve"> Begegnung mit diesem besonderen Ort, indem er besichtigt wird und man den Menschen, die dort arbeiten, begegnet:</w:t>
            </w:r>
          </w:p>
          <w:p w:rsidR="001A6720" w:rsidRDefault="001A6720" w:rsidP="000137B4">
            <w:r>
              <w:t>Aufenthaltsraum im Altenheim</w:t>
            </w:r>
          </w:p>
          <w:p w:rsidR="001A6720" w:rsidRDefault="001A6720" w:rsidP="000137B4">
            <w:r>
              <w:t>Bürgertreff</w:t>
            </w:r>
          </w:p>
          <w:p w:rsidR="001A6720" w:rsidRDefault="001A6720" w:rsidP="000137B4">
            <w:r>
              <w:t>Räume der VHS oder der Musikschule</w:t>
            </w:r>
          </w:p>
          <w:p w:rsidR="001A6720" w:rsidRDefault="001A6720" w:rsidP="000137B4">
            <w:r>
              <w:t>Schule</w:t>
            </w:r>
          </w:p>
          <w:p w:rsidR="001A6720" w:rsidRDefault="00404FAD" w:rsidP="000137B4">
            <w:r>
              <w:t>Rathaus</w:t>
            </w:r>
          </w:p>
          <w:p w:rsidR="00404FAD" w:rsidRDefault="00404FAD" w:rsidP="000137B4">
            <w:r>
              <w:t>Soziale Einrichtung</w:t>
            </w:r>
          </w:p>
          <w:p w:rsidR="00404FAD" w:rsidRDefault="00404FAD" w:rsidP="000137B4">
            <w:r>
              <w:t>Einrichtung der Caritas</w:t>
            </w:r>
          </w:p>
          <w:p w:rsidR="00404FAD" w:rsidRDefault="00404FAD" w:rsidP="000137B4">
            <w:r>
              <w:t>Begegnungsraum im Quartier</w:t>
            </w:r>
          </w:p>
          <w:p w:rsidR="00404FAD" w:rsidRDefault="00404FAD" w:rsidP="000137B4">
            <w:r>
              <w:t>Sporthalle</w:t>
            </w:r>
          </w:p>
          <w:p w:rsidR="00404FAD" w:rsidRDefault="00404FAD" w:rsidP="000137B4">
            <w:r>
              <w:lastRenderedPageBreak/>
              <w:t>…</w:t>
            </w:r>
          </w:p>
          <w:p w:rsidR="0053179E" w:rsidRDefault="001A6720" w:rsidP="000137B4">
            <w:pPr>
              <w:rPr>
                <w:u w:val="single"/>
              </w:rPr>
            </w:pPr>
            <w:r>
              <w:t xml:space="preserve"> </w:t>
            </w:r>
            <w:r w:rsidR="00404FAD">
              <w:rPr>
                <w:u w:val="single"/>
              </w:rPr>
              <w:t>Möglichkeit B:</w:t>
            </w:r>
          </w:p>
          <w:p w:rsidR="0053179E" w:rsidRDefault="0053179E" w:rsidP="000137B4">
            <w:pPr>
              <w:rPr>
                <w:u w:val="single"/>
              </w:rPr>
            </w:pPr>
            <w:r>
              <w:rPr>
                <w:u w:val="single"/>
              </w:rPr>
              <w:t>Als kirchlicher Ort sich selber durch andere kennenlernen</w:t>
            </w:r>
          </w:p>
          <w:p w:rsidR="00404FAD" w:rsidRDefault="00404FAD" w:rsidP="000137B4">
            <w:r>
              <w:t>Ein kirchlicher Ort stellt dem anderen kirchlichen Ort seinen Sozialraum vor – z.B. bei einer gemeinsamen KGR-Sitzung oder Klausur</w:t>
            </w:r>
          </w:p>
          <w:p w:rsidR="00404FAD" w:rsidRDefault="00404FAD" w:rsidP="000137B4">
            <w:r>
              <w:t>oder</w:t>
            </w:r>
          </w:p>
          <w:p w:rsidR="00404FAD" w:rsidRDefault="00404FAD" w:rsidP="000137B4">
            <w:r>
              <w:t>ein kirchlicher Ort stellt dem anderen kirchlichen Ort dessen Sozialraum vor, so wie die Menschen am anderen Ort ihn wahrnehmen – z.B. der eine KGR stellt dem anderen KGR dessen Sozialraum vor, wie er ihn wahrnimmt, z.B. die Krankenhausseelsorger:innen stellen der gemeinsamen Seelsorgeeinheit den Sozialraum vor, so wie sie ihn wahrnehmen</w:t>
            </w:r>
          </w:p>
          <w:p w:rsidR="00404FAD" w:rsidRDefault="00404FAD" w:rsidP="000137B4"/>
          <w:p w:rsidR="00404FAD" w:rsidRDefault="00404FAD" w:rsidP="000137B4">
            <w:r>
              <w:t>die Vorstellung geschieht durch Bilder, Ortspläne, Symbole – am besten per PowerPoint</w:t>
            </w:r>
          </w:p>
          <w:p w:rsidR="00404FAD" w:rsidRDefault="00404FAD" w:rsidP="000137B4"/>
          <w:p w:rsidR="00404FAD" w:rsidRPr="00404FAD" w:rsidRDefault="00404FAD" w:rsidP="000137B4">
            <w:r>
              <w:t>Dann spricht man über das Gehörte und legt weitere Erfahrungen dazu</w:t>
            </w:r>
          </w:p>
          <w:p w:rsidR="001A6720" w:rsidRDefault="001A6720" w:rsidP="000137B4"/>
          <w:p w:rsidR="00404FAD" w:rsidRDefault="00404FAD" w:rsidP="000137B4">
            <w:pPr>
              <w:rPr>
                <w:u w:val="single"/>
              </w:rPr>
            </w:pPr>
            <w:r>
              <w:rPr>
                <w:u w:val="single"/>
              </w:rPr>
              <w:t>Möglichkeit C:</w:t>
            </w:r>
          </w:p>
          <w:p w:rsidR="0053179E" w:rsidRDefault="0053179E" w:rsidP="000137B4">
            <w:pPr>
              <w:rPr>
                <w:u w:val="single"/>
              </w:rPr>
            </w:pPr>
            <w:r>
              <w:rPr>
                <w:u w:val="single"/>
              </w:rPr>
              <w:t>Erkundung vor Ort – an vielen Orten</w:t>
            </w:r>
          </w:p>
          <w:p w:rsidR="00404FAD" w:rsidRDefault="00404FAD" w:rsidP="000137B4">
            <w:r>
              <w:t>Es findet eine gemeinsame Begehung statt – dabei werden bestimmte Stationen ausgesucht, die den Sozialraum markieren: Typisches und Besonderes. Es ist aber gut auszuwählen und die Logistik und Dauer muss gut geplant werden.</w:t>
            </w:r>
          </w:p>
          <w:p w:rsidR="00404FAD" w:rsidRDefault="00404FAD" w:rsidP="000137B4">
            <w:r>
              <w:t>Zu Fuß, per Fahrrad, per Auto, ….</w:t>
            </w:r>
          </w:p>
          <w:p w:rsidR="00404FAD" w:rsidRDefault="00404FAD" w:rsidP="000137B4">
            <w:r>
              <w:t>Die Aktion könnte auch ein offenes Angebot für Bewohner:innen und Zugezogene sein.</w:t>
            </w:r>
          </w:p>
          <w:p w:rsidR="004105EE" w:rsidRDefault="004105EE" w:rsidP="000137B4"/>
          <w:p w:rsidR="00E855F8" w:rsidRDefault="00E855F8" w:rsidP="000137B4">
            <w:pPr>
              <w:rPr>
                <w:u w:val="single"/>
              </w:rPr>
            </w:pPr>
            <w:r>
              <w:rPr>
                <w:u w:val="single"/>
              </w:rPr>
              <w:t>Möglichkeit B:</w:t>
            </w:r>
          </w:p>
          <w:p w:rsidR="00E855F8" w:rsidRDefault="00E855F8" w:rsidP="000137B4">
            <w:pPr>
              <w:rPr>
                <w:u w:val="single"/>
              </w:rPr>
            </w:pPr>
            <w:r>
              <w:rPr>
                <w:u w:val="single"/>
              </w:rPr>
              <w:t>Mit Polarroid-Kameras losziehen</w:t>
            </w:r>
          </w:p>
          <w:p w:rsidR="00E855F8" w:rsidRDefault="00E855F8" w:rsidP="000137B4">
            <w:r>
              <w:t>Verschiedene Gruppen sind mit Kameras (oder Smartphones) bewaffnet und fotografieren im Sozialraum, wo sie Gottes Spuren entdecken</w:t>
            </w:r>
          </w:p>
          <w:p w:rsidR="00E855F8" w:rsidRPr="00E855F8" w:rsidRDefault="00E855F8" w:rsidP="000137B4">
            <w:r>
              <w:t>Anschließend oder zum vereinbarten Zeitraum trifft man sich und zeigt einander die Bilder und die verschiedenen Blickwinkel</w:t>
            </w:r>
          </w:p>
          <w:p w:rsidR="00E855F8" w:rsidRDefault="00E855F8" w:rsidP="000137B4"/>
          <w:p w:rsidR="004105EE" w:rsidRDefault="004105EE" w:rsidP="000137B4">
            <w:pPr>
              <w:rPr>
                <w:b/>
              </w:rPr>
            </w:pPr>
            <w:r>
              <w:rPr>
                <w:b/>
              </w:rPr>
              <w:t>Weitere Ideen zum Erkunden des Sozialraums</w:t>
            </w:r>
            <w:r w:rsidR="00705332">
              <w:rPr>
                <w:b/>
              </w:rPr>
              <w:t xml:space="preserve"> findet Ihr in der Wir&amp;Hier Toolbox auf den Seiten 38-58</w:t>
            </w:r>
          </w:p>
          <w:p w:rsidR="00705332" w:rsidRPr="00705332" w:rsidRDefault="00705332" w:rsidP="000137B4">
            <w:r>
              <w:t>Die Datei ist hier im Ordner, die Ideen sind zum Teil wirklich pfiffig, es lohnt sich, sie zu sichten.</w:t>
            </w:r>
          </w:p>
          <w:p w:rsidR="00404FAD" w:rsidRDefault="00404FAD" w:rsidP="000137B4"/>
          <w:p w:rsidR="00E855F8" w:rsidRDefault="008C7A91" w:rsidP="000137B4">
            <w:hyperlink r:id="rId10" w:history="1">
              <w:r w:rsidR="009E6199" w:rsidRPr="000C2C1A">
                <w:rPr>
                  <w:rStyle w:val="Hyperlink"/>
                </w:rPr>
                <w:t>https://www.mi-di.de/wir-hier</w:t>
              </w:r>
            </w:hyperlink>
          </w:p>
          <w:p w:rsidR="00E855F8" w:rsidRDefault="00E855F8" w:rsidP="000137B4"/>
          <w:p w:rsidR="00E855F8" w:rsidRDefault="00E855F8" w:rsidP="000137B4"/>
        </w:tc>
        <w:tc>
          <w:tcPr>
            <w:tcW w:w="3172" w:type="dxa"/>
          </w:tcPr>
          <w:p w:rsidR="00AE2D3F" w:rsidRDefault="00404FAD" w:rsidP="000137B4">
            <w:r>
              <w:lastRenderedPageBreak/>
              <w:t>Absprachen vor dem Termin, Gastgeschenk</w:t>
            </w:r>
          </w:p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>
            <w:r>
              <w:t>Präsentation und Technik</w:t>
            </w:r>
          </w:p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7203F6" w:rsidRDefault="007203F6" w:rsidP="000137B4"/>
          <w:p w:rsidR="007203F6" w:rsidRDefault="007203F6" w:rsidP="000137B4"/>
          <w:p w:rsidR="007203F6" w:rsidRDefault="007203F6" w:rsidP="000137B4"/>
          <w:p w:rsidR="009350F7" w:rsidRDefault="009350F7" w:rsidP="000137B4"/>
          <w:p w:rsidR="009350F7" w:rsidRDefault="009350F7" w:rsidP="000137B4">
            <w:r>
              <w:t>Evtl. Fahrzeuge</w:t>
            </w:r>
          </w:p>
          <w:p w:rsidR="009350F7" w:rsidRDefault="009350F7" w:rsidP="000137B4">
            <w:r>
              <w:t>Gastgeschenke</w:t>
            </w:r>
          </w:p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  <w:p w:rsidR="009350F7" w:rsidRDefault="009350F7" w:rsidP="000137B4"/>
        </w:tc>
      </w:tr>
      <w:tr w:rsidR="00AE2D3F" w:rsidTr="00B8143F">
        <w:tc>
          <w:tcPr>
            <w:tcW w:w="1928" w:type="dxa"/>
          </w:tcPr>
          <w:p w:rsidR="00AE2D3F" w:rsidRDefault="00AE2D3F" w:rsidP="000137B4"/>
        </w:tc>
        <w:tc>
          <w:tcPr>
            <w:tcW w:w="4820" w:type="dxa"/>
          </w:tcPr>
          <w:p w:rsidR="00AE2D3F" w:rsidRDefault="0053179E" w:rsidP="000137B4">
            <w:pPr>
              <w:rPr>
                <w:b/>
              </w:rPr>
            </w:pPr>
            <w:r>
              <w:rPr>
                <w:b/>
              </w:rPr>
              <w:t>Schritt 2:</w:t>
            </w:r>
          </w:p>
          <w:p w:rsidR="0053179E" w:rsidRPr="0053179E" w:rsidRDefault="0053179E" w:rsidP="000137B4">
            <w:pPr>
              <w:rPr>
                <w:b/>
              </w:rPr>
            </w:pPr>
            <w:r>
              <w:rPr>
                <w:b/>
              </w:rPr>
              <w:t>Wie relevant sind wir für unseren Ort?</w:t>
            </w:r>
          </w:p>
        </w:tc>
        <w:tc>
          <w:tcPr>
            <w:tcW w:w="3172" w:type="dxa"/>
          </w:tcPr>
          <w:p w:rsidR="00AE2D3F" w:rsidRDefault="00AE2D3F" w:rsidP="000137B4"/>
        </w:tc>
      </w:tr>
      <w:tr w:rsidR="00AE2D3F" w:rsidTr="00B8143F">
        <w:tc>
          <w:tcPr>
            <w:tcW w:w="1928" w:type="dxa"/>
          </w:tcPr>
          <w:p w:rsidR="00AE2D3F" w:rsidRDefault="00AE2D3F"/>
        </w:tc>
        <w:tc>
          <w:tcPr>
            <w:tcW w:w="4820" w:type="dxa"/>
          </w:tcPr>
          <w:p w:rsidR="0053179E" w:rsidRDefault="0053179E">
            <w:pPr>
              <w:rPr>
                <w:u w:val="single"/>
              </w:rPr>
            </w:pPr>
            <w:r>
              <w:rPr>
                <w:u w:val="single"/>
              </w:rPr>
              <w:t>Möglichkeit 1:</w:t>
            </w:r>
          </w:p>
          <w:p w:rsidR="00AE2D3F" w:rsidRDefault="0053179E">
            <w:pPr>
              <w:rPr>
                <w:u w:val="single"/>
              </w:rPr>
            </w:pPr>
            <w:r>
              <w:rPr>
                <w:u w:val="single"/>
              </w:rPr>
              <w:t>Was treibt uns an – eine Runde Vergewisserung</w:t>
            </w:r>
          </w:p>
          <w:p w:rsidR="0053179E" w:rsidRDefault="0053179E">
            <w:r>
              <w:t>Fragestellung:</w:t>
            </w:r>
          </w:p>
          <w:p w:rsidR="0053179E" w:rsidRDefault="0053179E">
            <w:r>
              <w:t>Warum beschäftigen wir uns mit unserem Sozialraum bzw. sozialen Raum?</w:t>
            </w:r>
          </w:p>
          <w:p w:rsidR="0053179E" w:rsidRDefault="0053179E"/>
          <w:p w:rsidR="0053179E" w:rsidRDefault="0053179E">
            <w:r>
              <w:t>Was erhoffen wir uns von einer Öffnung für den Sozialraum?</w:t>
            </w:r>
          </w:p>
          <w:p w:rsidR="0053179E" w:rsidRDefault="0053179E"/>
          <w:p w:rsidR="0053179E" w:rsidRDefault="0053179E">
            <w:r>
              <w:t>Was könnte der Sozialraum davon haben?</w:t>
            </w:r>
          </w:p>
          <w:p w:rsidR="0053179E" w:rsidRDefault="0053179E"/>
          <w:p w:rsidR="0053179E" w:rsidRDefault="0053179E">
            <w:r>
              <w:t>Was könnten mögliche Netzpartner:innen davon haben?</w:t>
            </w:r>
          </w:p>
          <w:p w:rsidR="0053179E" w:rsidRDefault="0053179E"/>
          <w:p w:rsidR="0053179E" w:rsidRDefault="0053179E">
            <w:r>
              <w:t>Jede Frage wird mit einer Farbe Moderationskarten verbunden. Jede Gesprächsgruppe füllt zu jeder Frage bis zu drei Moderationskarten aus.</w:t>
            </w:r>
          </w:p>
          <w:p w:rsidR="0053179E" w:rsidRDefault="0053179E"/>
          <w:p w:rsidR="0053179E" w:rsidRDefault="0053179E" w:rsidP="0053179E">
            <w:r>
              <w:t xml:space="preserve">Danach werden die Ideen auf verschiedenen Pinwänden zusammengetragen. </w:t>
            </w:r>
          </w:p>
          <w:p w:rsidR="009E6199" w:rsidRDefault="009E6199" w:rsidP="0053179E"/>
          <w:p w:rsidR="009E6199" w:rsidRDefault="009E6199" w:rsidP="0053179E">
            <w:r>
              <w:t>Dies kann auch als Worldcafe geschehen. Auf Jedem Stehtisch im Raum liegt eine andere Frage. Moderationskarten liegen für mögliche Antworten ebenfalls auf allen Tischen.</w:t>
            </w:r>
          </w:p>
          <w:p w:rsidR="0053179E" w:rsidRDefault="0053179E" w:rsidP="0053179E"/>
        </w:tc>
        <w:tc>
          <w:tcPr>
            <w:tcW w:w="3172" w:type="dxa"/>
          </w:tcPr>
          <w:p w:rsidR="00AE2D3F" w:rsidRDefault="0053179E">
            <w:r>
              <w:t>Moderationskarten, Stifte, Pin</w:t>
            </w:r>
            <w:r w:rsidR="009E6199">
              <w:t>n</w:t>
            </w:r>
            <w:r>
              <w:t>wände</w:t>
            </w:r>
          </w:p>
        </w:tc>
      </w:tr>
      <w:tr w:rsidR="00AE2D3F" w:rsidTr="00B8143F">
        <w:tc>
          <w:tcPr>
            <w:tcW w:w="1928" w:type="dxa"/>
          </w:tcPr>
          <w:p w:rsidR="00AE2D3F" w:rsidRDefault="00AE2D3F"/>
        </w:tc>
        <w:tc>
          <w:tcPr>
            <w:tcW w:w="4820" w:type="dxa"/>
          </w:tcPr>
          <w:p w:rsidR="00AE2D3F" w:rsidRDefault="0053179E">
            <w:pPr>
              <w:rPr>
                <w:u w:val="single"/>
              </w:rPr>
            </w:pPr>
            <w:r w:rsidRPr="0053179E">
              <w:rPr>
                <w:u w:val="single"/>
              </w:rPr>
              <w:t>Möglichkeit</w:t>
            </w:r>
            <w:r>
              <w:rPr>
                <w:u w:val="single"/>
              </w:rPr>
              <w:t>2</w:t>
            </w:r>
            <w:r w:rsidRPr="0053179E">
              <w:rPr>
                <w:u w:val="single"/>
              </w:rPr>
              <w:t>:</w:t>
            </w:r>
          </w:p>
          <w:p w:rsidR="003A1407" w:rsidRPr="0053179E" w:rsidRDefault="003A1407">
            <w:pPr>
              <w:rPr>
                <w:u w:val="single"/>
              </w:rPr>
            </w:pPr>
            <w:r>
              <w:rPr>
                <w:u w:val="single"/>
              </w:rPr>
              <w:t>Nehmen wir einmal an, es gäbe uns nicht</w:t>
            </w:r>
          </w:p>
          <w:p w:rsidR="003A1407" w:rsidRDefault="003A1407"/>
          <w:p w:rsidR="0053179E" w:rsidRDefault="0053179E">
            <w:r>
              <w:t>Tool 3 aus Wir&amp;Hier, Seiten 14-16</w:t>
            </w:r>
          </w:p>
          <w:p w:rsidR="0053179E" w:rsidRDefault="0053179E"/>
        </w:tc>
        <w:tc>
          <w:tcPr>
            <w:tcW w:w="3172" w:type="dxa"/>
          </w:tcPr>
          <w:p w:rsidR="00AE2D3F" w:rsidRDefault="0053179E">
            <w:r>
              <w:t>Siehe in der pdf Wir&amp;Hier</w:t>
            </w:r>
            <w:r w:rsidR="00463F36">
              <w:t>,</w:t>
            </w:r>
          </w:p>
          <w:p w:rsidR="00463F36" w:rsidRDefault="00463F36">
            <w:r>
              <w:t>Seiten 14-16</w:t>
            </w:r>
          </w:p>
        </w:tc>
      </w:tr>
      <w:tr w:rsidR="00AE2D3F" w:rsidTr="00B8143F">
        <w:tc>
          <w:tcPr>
            <w:tcW w:w="1928" w:type="dxa"/>
          </w:tcPr>
          <w:p w:rsidR="00AE2D3F" w:rsidRDefault="00AE2D3F"/>
        </w:tc>
        <w:tc>
          <w:tcPr>
            <w:tcW w:w="4820" w:type="dxa"/>
          </w:tcPr>
          <w:p w:rsidR="00AE2D3F" w:rsidRPr="005F4B70" w:rsidRDefault="005F4B70">
            <w:pPr>
              <w:rPr>
                <w:u w:val="single"/>
              </w:rPr>
            </w:pPr>
            <w:r w:rsidRPr="005F4B70">
              <w:rPr>
                <w:u w:val="single"/>
              </w:rPr>
              <w:t>Möglichkeit 3:</w:t>
            </w:r>
          </w:p>
          <w:p w:rsidR="005F4B70" w:rsidRDefault="005F4B70">
            <w:pPr>
              <w:rPr>
                <w:u w:val="single"/>
              </w:rPr>
            </w:pPr>
            <w:r>
              <w:rPr>
                <w:u w:val="single"/>
              </w:rPr>
              <w:t>Biblische Resonanz</w:t>
            </w:r>
          </w:p>
          <w:p w:rsidR="004141CE" w:rsidRPr="00EC5807" w:rsidRDefault="004141CE"/>
          <w:p w:rsidR="005F4B70" w:rsidRPr="007203F6" w:rsidRDefault="007203F6">
            <w:pPr>
              <w:rPr>
                <w:i/>
                <w:u w:val="single"/>
              </w:rPr>
            </w:pPr>
            <w:r w:rsidRPr="007203F6">
              <w:rPr>
                <w:i/>
                <w:u w:val="single"/>
              </w:rPr>
              <w:t>Mögliche Bibeltexte</w:t>
            </w:r>
          </w:p>
          <w:p w:rsidR="007203F6" w:rsidRDefault="007203F6">
            <w:r w:rsidRPr="007203F6">
              <w:t>Heilung</w:t>
            </w:r>
            <w:r>
              <w:t xml:space="preserve"> des blinden Bartimäus, Mk</w:t>
            </w:r>
            <w:r w:rsidR="009E6199">
              <w:t xml:space="preserve"> 10,46-52</w:t>
            </w:r>
          </w:p>
          <w:p w:rsidR="007203F6" w:rsidRDefault="00807550">
            <w:r w:rsidRPr="00807550">
              <w:t>Emmaus</w:t>
            </w:r>
            <w:r>
              <w:t>, Lk</w:t>
            </w:r>
            <w:r w:rsidR="009E6199">
              <w:t xml:space="preserve"> 24,13-35</w:t>
            </w:r>
          </w:p>
          <w:p w:rsidR="009E6199" w:rsidRDefault="009E6199">
            <w:r>
              <w:t>Worauf es ankommt? Mt 25,35-36.40 (Basisbibel)</w:t>
            </w:r>
          </w:p>
          <w:p w:rsidR="009E6199" w:rsidRDefault="00895DDC">
            <w:r>
              <w:t>Was willst du? Lk 18,40f (Basisbibel)</w:t>
            </w:r>
          </w:p>
          <w:p w:rsidR="00895DDC" w:rsidRDefault="00895DDC">
            <w:r>
              <w:t>…</w:t>
            </w:r>
          </w:p>
          <w:p w:rsidR="007203F6" w:rsidRDefault="007203F6">
            <w:pPr>
              <w:rPr>
                <w:u w:val="single"/>
              </w:rPr>
            </w:pPr>
          </w:p>
          <w:p w:rsidR="007203F6" w:rsidRDefault="007203F6">
            <w:pPr>
              <w:rPr>
                <w:i/>
                <w:u w:val="single"/>
              </w:rPr>
            </w:pPr>
            <w:r w:rsidRPr="007203F6">
              <w:rPr>
                <w:i/>
                <w:u w:val="single"/>
              </w:rPr>
              <w:t>Methode</w:t>
            </w:r>
          </w:p>
          <w:p w:rsidR="007203F6" w:rsidRDefault="007203F6">
            <w:r>
              <w:t>Bibel-Teilen oder Lectio Divina</w:t>
            </w:r>
          </w:p>
          <w:p w:rsidR="007203F6" w:rsidRDefault="007203F6">
            <w:r>
              <w:t>Fragestellung:</w:t>
            </w:r>
          </w:p>
          <w:p w:rsidR="007203F6" w:rsidRDefault="007203F6">
            <w:r>
              <w:t>Welche Anleitung gibt uns der Text für eine sozialraumorientierte Pastoral?</w:t>
            </w:r>
          </w:p>
          <w:p w:rsidR="007203F6" w:rsidRDefault="007203F6"/>
          <w:p w:rsidR="007203F6" w:rsidRDefault="007203F6">
            <w:r>
              <w:t xml:space="preserve">Die Aussagen werden in Gruppen gesammelt, auf Moderationskarten notiert und </w:t>
            </w:r>
            <w:r>
              <w:lastRenderedPageBreak/>
              <w:t xml:space="preserve">zusammengetragen. </w:t>
            </w:r>
          </w:p>
          <w:p w:rsidR="007203F6" w:rsidRDefault="007203F6">
            <w:r>
              <w:t>Die Ergebnisse sind visuell präsent.</w:t>
            </w:r>
          </w:p>
          <w:p w:rsidR="005F4B70" w:rsidRDefault="005F4B70"/>
        </w:tc>
        <w:tc>
          <w:tcPr>
            <w:tcW w:w="3172" w:type="dxa"/>
          </w:tcPr>
          <w:p w:rsidR="00AE2D3F" w:rsidRDefault="007203F6">
            <w:r>
              <w:lastRenderedPageBreak/>
              <w:t>Bibeln</w:t>
            </w:r>
          </w:p>
          <w:p w:rsidR="007203F6" w:rsidRDefault="007203F6">
            <w:r>
              <w:t>Moderationskarten</w:t>
            </w:r>
          </w:p>
          <w:p w:rsidR="007203F6" w:rsidRDefault="007203F6">
            <w:r>
              <w:t>Stifte</w:t>
            </w:r>
          </w:p>
          <w:p w:rsidR="00DF5920" w:rsidRDefault="00DF5920"/>
          <w:p w:rsidR="00DF5920" w:rsidRDefault="00DF5920"/>
          <w:p w:rsidR="00DF5920" w:rsidRDefault="00DF5920"/>
          <w:p w:rsidR="00895DDC" w:rsidRDefault="00895DDC"/>
          <w:p w:rsidR="00DF5920" w:rsidRDefault="00DF5920"/>
          <w:p w:rsidR="00DF5920" w:rsidRDefault="00DF5920"/>
          <w:p w:rsidR="00DF5920" w:rsidRDefault="00DF5920"/>
          <w:p w:rsidR="00DF5920" w:rsidRDefault="00DF5920">
            <w:r>
              <w:t>Bibel-Teilen-Anleitungen und Lectio Divina Anleitungen zu beziehen bei:</w:t>
            </w:r>
          </w:p>
          <w:p w:rsidR="00DF5920" w:rsidRDefault="008C7A91">
            <w:hyperlink r:id="rId11" w:history="1">
              <w:r w:rsidR="00DF5920" w:rsidRPr="00BA0CA1">
                <w:rPr>
                  <w:rStyle w:val="Hyperlink"/>
                </w:rPr>
                <w:t>https://expedition-drs.de/produkt/4-biblische-anleitungen-fuer-gruppen-und-sitzungen/</w:t>
              </w:r>
            </w:hyperlink>
          </w:p>
          <w:p w:rsidR="00DF5920" w:rsidRDefault="00DF5920"/>
        </w:tc>
      </w:tr>
      <w:tr w:rsidR="00AE2D3F" w:rsidTr="00B8143F">
        <w:tc>
          <w:tcPr>
            <w:tcW w:w="1928" w:type="dxa"/>
          </w:tcPr>
          <w:p w:rsidR="00AE2D3F" w:rsidRDefault="00AE2D3F"/>
        </w:tc>
        <w:tc>
          <w:tcPr>
            <w:tcW w:w="4820" w:type="dxa"/>
          </w:tcPr>
          <w:p w:rsidR="00AE2D3F" w:rsidRPr="00463F36" w:rsidRDefault="005F4B70">
            <w:pPr>
              <w:rPr>
                <w:u w:val="single"/>
              </w:rPr>
            </w:pPr>
            <w:r w:rsidRPr="00463F36">
              <w:rPr>
                <w:u w:val="single"/>
              </w:rPr>
              <w:t>Möglichkeit 4:</w:t>
            </w:r>
          </w:p>
          <w:p w:rsidR="005F4B70" w:rsidRPr="00463F36" w:rsidRDefault="005F4B70">
            <w:pPr>
              <w:rPr>
                <w:u w:val="single"/>
              </w:rPr>
            </w:pPr>
            <w:r w:rsidRPr="00463F36">
              <w:rPr>
                <w:u w:val="single"/>
              </w:rPr>
              <w:t>Was lockt uns zur Veränderung</w:t>
            </w:r>
          </w:p>
          <w:p w:rsidR="005F4B70" w:rsidRDefault="005F4B70"/>
          <w:p w:rsidR="005F4B70" w:rsidRDefault="005F4B70">
            <w:r>
              <w:t>Mit dem Fragebogen aus Tool 4 in Wir&amp;Hier,</w:t>
            </w:r>
          </w:p>
          <w:p w:rsidR="005F4B70" w:rsidRDefault="005F4B70">
            <w:r>
              <w:t>Seiten 17-21</w:t>
            </w:r>
          </w:p>
        </w:tc>
        <w:tc>
          <w:tcPr>
            <w:tcW w:w="3172" w:type="dxa"/>
          </w:tcPr>
          <w:p w:rsidR="00AE2D3F" w:rsidRDefault="00463F36">
            <w:r>
              <w:t>Siehe in der pdf Wir&amp;Hier,</w:t>
            </w:r>
          </w:p>
          <w:p w:rsidR="00463F36" w:rsidRDefault="00463F36">
            <w:r>
              <w:t>Seiten 17-21</w:t>
            </w:r>
          </w:p>
        </w:tc>
      </w:tr>
      <w:tr w:rsidR="00743F37" w:rsidTr="00B8143F">
        <w:tc>
          <w:tcPr>
            <w:tcW w:w="1928" w:type="dxa"/>
          </w:tcPr>
          <w:p w:rsidR="00743F37" w:rsidRPr="004141CE" w:rsidRDefault="00743F37"/>
        </w:tc>
        <w:tc>
          <w:tcPr>
            <w:tcW w:w="4820" w:type="dxa"/>
          </w:tcPr>
          <w:p w:rsidR="00743F37" w:rsidRDefault="00743F37">
            <w:pPr>
              <w:rPr>
                <w:b/>
              </w:rPr>
            </w:pPr>
            <w:r w:rsidRPr="004141CE">
              <w:rPr>
                <w:b/>
              </w:rPr>
              <w:t xml:space="preserve">Schritt 3: </w:t>
            </w:r>
          </w:p>
          <w:p w:rsidR="004141CE" w:rsidRPr="004141CE" w:rsidRDefault="004141CE">
            <w:pPr>
              <w:rPr>
                <w:b/>
              </w:rPr>
            </w:pPr>
            <w:r>
              <w:rPr>
                <w:b/>
              </w:rPr>
              <w:t>Wir erproben eine Idee, einen nächsten Schritt, eine Aktion, eine Vernetzung</w:t>
            </w:r>
            <w:r w:rsidR="00EC5807">
              <w:rPr>
                <w:b/>
              </w:rPr>
              <w:t xml:space="preserve"> bzw. lernen Ideen kennen</w:t>
            </w:r>
          </w:p>
        </w:tc>
        <w:tc>
          <w:tcPr>
            <w:tcW w:w="3172" w:type="dxa"/>
          </w:tcPr>
          <w:p w:rsidR="00743F37" w:rsidRDefault="00743F37"/>
        </w:tc>
      </w:tr>
      <w:tr w:rsidR="00743F37" w:rsidTr="00B8143F">
        <w:tc>
          <w:tcPr>
            <w:tcW w:w="1928" w:type="dxa"/>
          </w:tcPr>
          <w:p w:rsidR="00743F37" w:rsidRDefault="00743F37"/>
        </w:tc>
        <w:tc>
          <w:tcPr>
            <w:tcW w:w="4820" w:type="dxa"/>
          </w:tcPr>
          <w:p w:rsidR="00743F37" w:rsidRDefault="00EC5807">
            <w:pPr>
              <w:rPr>
                <w:u w:val="single"/>
              </w:rPr>
            </w:pPr>
            <w:r>
              <w:rPr>
                <w:u w:val="single"/>
              </w:rPr>
              <w:t>Möglichkeit 1:</w:t>
            </w:r>
          </w:p>
          <w:p w:rsidR="00EC5807" w:rsidRDefault="00EC5807">
            <w:pPr>
              <w:rPr>
                <w:u w:val="single"/>
              </w:rPr>
            </w:pPr>
            <w:r>
              <w:rPr>
                <w:u w:val="single"/>
              </w:rPr>
              <w:t>Einfach loslegen</w:t>
            </w:r>
          </w:p>
          <w:p w:rsidR="00EC5807" w:rsidRDefault="00EC5807">
            <w:pPr>
              <w:rPr>
                <w:u w:val="single"/>
              </w:rPr>
            </w:pPr>
          </w:p>
          <w:p w:rsidR="00EC5807" w:rsidRDefault="00EC5807">
            <w:r>
              <w:t xml:space="preserve">Auch hier gibt es jede Menge Ideen in der Wir&amp;Hier Toolbox, nämlich 8 verschiedene Tools, um einfach loszulegen </w:t>
            </w:r>
          </w:p>
          <w:p w:rsidR="00EC5807" w:rsidRPr="00EC5807" w:rsidRDefault="00EC5807">
            <w:r w:rsidRPr="00EC5807">
              <w:t>Seiten 28-37</w:t>
            </w:r>
          </w:p>
          <w:p w:rsidR="00EC5807" w:rsidRPr="00463F36" w:rsidRDefault="00EC5807">
            <w:pPr>
              <w:rPr>
                <w:u w:val="single"/>
              </w:rPr>
            </w:pPr>
          </w:p>
        </w:tc>
        <w:tc>
          <w:tcPr>
            <w:tcW w:w="3172" w:type="dxa"/>
          </w:tcPr>
          <w:p w:rsidR="00743F37" w:rsidRDefault="00743F37"/>
        </w:tc>
      </w:tr>
      <w:tr w:rsidR="00743F37" w:rsidTr="00B8143F">
        <w:tc>
          <w:tcPr>
            <w:tcW w:w="1928" w:type="dxa"/>
          </w:tcPr>
          <w:p w:rsidR="00743F37" w:rsidRDefault="00743F37"/>
        </w:tc>
        <w:tc>
          <w:tcPr>
            <w:tcW w:w="4820" w:type="dxa"/>
          </w:tcPr>
          <w:p w:rsidR="00743F37" w:rsidRDefault="00EC5807">
            <w:pPr>
              <w:rPr>
                <w:u w:val="single"/>
              </w:rPr>
            </w:pPr>
            <w:r>
              <w:rPr>
                <w:u w:val="single"/>
              </w:rPr>
              <w:t>Möglichkeit 2:</w:t>
            </w:r>
          </w:p>
          <w:p w:rsidR="00EC5807" w:rsidRDefault="00EC5807">
            <w:pPr>
              <w:rPr>
                <w:u w:val="single"/>
              </w:rPr>
            </w:pPr>
            <w:r>
              <w:rPr>
                <w:u w:val="single"/>
              </w:rPr>
              <w:t>Sozialraumorientierte Pastoral bzw. Quartierspastoral kennenlernen</w:t>
            </w:r>
          </w:p>
          <w:p w:rsidR="00EC5807" w:rsidRDefault="00EC5807">
            <w:pPr>
              <w:rPr>
                <w:u w:val="single"/>
              </w:rPr>
            </w:pPr>
          </w:p>
          <w:p w:rsidR="00EC5807" w:rsidRDefault="00ED2D81">
            <w:r>
              <w:t>Die Orte der Quartierspastoral in der Diözese findet Ihr unter:</w:t>
            </w:r>
          </w:p>
          <w:p w:rsidR="00ED2D81" w:rsidRDefault="008C7A91">
            <w:hyperlink r:id="rId12" w:history="1">
              <w:r w:rsidR="00F904AD" w:rsidRPr="00BA0CA1">
                <w:rPr>
                  <w:rStyle w:val="Hyperlink"/>
                </w:rPr>
                <w:t>https://www.an-vielen-orten.de/quartier.html</w:t>
              </w:r>
            </w:hyperlink>
          </w:p>
          <w:p w:rsidR="00F904AD" w:rsidRDefault="00F904AD"/>
          <w:p w:rsidR="00F904AD" w:rsidRDefault="00F904AD">
            <w:r>
              <w:t>Die betreffenden Quartiersseelsorger:innen und Sozialpädagog:innen im Quartier können direkt angefragt werden.</w:t>
            </w:r>
          </w:p>
          <w:p w:rsidR="00EC5807" w:rsidRPr="00463F36" w:rsidRDefault="00EC5807" w:rsidP="00895DDC">
            <w:pPr>
              <w:rPr>
                <w:u w:val="single"/>
              </w:rPr>
            </w:pPr>
          </w:p>
        </w:tc>
        <w:tc>
          <w:tcPr>
            <w:tcW w:w="3172" w:type="dxa"/>
          </w:tcPr>
          <w:p w:rsidR="00743F37" w:rsidRDefault="00743F37"/>
        </w:tc>
      </w:tr>
      <w:tr w:rsidR="00743F37" w:rsidTr="00B8143F">
        <w:tc>
          <w:tcPr>
            <w:tcW w:w="1928" w:type="dxa"/>
          </w:tcPr>
          <w:p w:rsidR="00743F37" w:rsidRDefault="00743F37"/>
        </w:tc>
        <w:tc>
          <w:tcPr>
            <w:tcW w:w="4820" w:type="dxa"/>
          </w:tcPr>
          <w:p w:rsidR="00743F37" w:rsidRDefault="00097CE6">
            <w:pPr>
              <w:rPr>
                <w:u w:val="single"/>
              </w:rPr>
            </w:pPr>
            <w:r>
              <w:rPr>
                <w:u w:val="single"/>
              </w:rPr>
              <w:t>Möglichkeit 3:</w:t>
            </w:r>
          </w:p>
          <w:p w:rsidR="00097CE6" w:rsidRDefault="00097CE6">
            <w:pPr>
              <w:rPr>
                <w:u w:val="single"/>
              </w:rPr>
            </w:pPr>
            <w:r>
              <w:rPr>
                <w:u w:val="single"/>
              </w:rPr>
              <w:t>Mit Partner:innen ins Gespräch kommen</w:t>
            </w:r>
          </w:p>
          <w:p w:rsidR="00097CE6" w:rsidRDefault="00097CE6">
            <w:r>
              <w:t>Im Sozialraum sind bereits viele Träger:innen und Einrichtungen, Vereine und einzelne Menschen engagiert. Sie und ihre Arbeit kennenzulernen und dann auszuloten, welche Vernetzungen und Kooperationen möglich sind, ist Ziel dieses Schrittes.</w:t>
            </w:r>
          </w:p>
          <w:p w:rsidR="00097CE6" w:rsidRDefault="00097CE6"/>
          <w:p w:rsidR="00097CE6" w:rsidRDefault="00097CE6">
            <w:r>
              <w:t xml:space="preserve">Bei einer Klausur müssen die Kontakt vorher geknüpft werden und entsprechenden Personen eingeladen werden.  </w:t>
            </w:r>
          </w:p>
          <w:p w:rsidR="00097CE6" w:rsidRDefault="00097CE6"/>
          <w:p w:rsidR="00097CE6" w:rsidRDefault="00097CE6">
            <w:r>
              <w:t>Bei Sitzungen oder Gruppentreffen kann man zusammentragen (oder hat es bereits getan), wer als Netzpartner: in Frage kommt und dann entsprechend Kontakte planen.</w:t>
            </w:r>
          </w:p>
          <w:p w:rsidR="00097CE6" w:rsidRDefault="00097CE6">
            <w:r>
              <w:lastRenderedPageBreak/>
              <w:t>Möglichkeit 3 wäre dann die Entscheidung für diesen nächsten Schritt, nämlich auf Partner:innen zuzugehen, sich kennenzulernen und mögliche Kooperationen auszuloten.</w:t>
            </w:r>
          </w:p>
          <w:p w:rsidR="00097CE6" w:rsidRDefault="00097CE6">
            <w:r>
              <w:t>Dabei kann man bei den Partner:innen beginnen, wo es bereits Kontakte gibt.</w:t>
            </w:r>
          </w:p>
          <w:p w:rsidR="00097CE6" w:rsidRDefault="00097CE6"/>
          <w:p w:rsidR="00097CE6" w:rsidRPr="00097CE6" w:rsidRDefault="00097CE6">
            <w:r>
              <w:t>Es ist dann zu verabreden, wer die Kontakte herstellt und wie man zusammenkommt.</w:t>
            </w:r>
          </w:p>
          <w:p w:rsidR="00097CE6" w:rsidRPr="00097CE6" w:rsidRDefault="00097CE6"/>
        </w:tc>
        <w:tc>
          <w:tcPr>
            <w:tcW w:w="3172" w:type="dxa"/>
          </w:tcPr>
          <w:p w:rsidR="00743F37" w:rsidRDefault="00743F37"/>
        </w:tc>
      </w:tr>
    </w:tbl>
    <w:p w:rsidR="00AE2D3F" w:rsidRDefault="00AE2D3F"/>
    <w:p w:rsidR="00AE2D3F" w:rsidRDefault="00AE2D3F"/>
    <w:sectPr w:rsidR="00AE2D3F" w:rsidSect="009A01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E9" w:rsidRDefault="000B4AE9" w:rsidP="00B8143F">
      <w:pPr>
        <w:spacing w:line="240" w:lineRule="auto"/>
      </w:pPr>
      <w:r>
        <w:separator/>
      </w:r>
    </w:p>
  </w:endnote>
  <w:endnote w:type="continuationSeparator" w:id="0">
    <w:p w:rsidR="000B4AE9" w:rsidRDefault="000B4AE9" w:rsidP="00B81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3F" w:rsidRDefault="00B8143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69613"/>
      <w:docPartObj>
        <w:docPartGallery w:val="Page Numbers (Bottom of Page)"/>
        <w:docPartUnique/>
      </w:docPartObj>
    </w:sdtPr>
    <w:sdtEndPr/>
    <w:sdtContent>
      <w:p w:rsidR="00B8143F" w:rsidRDefault="00B8143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A91">
          <w:rPr>
            <w:noProof/>
          </w:rPr>
          <w:t>1</w:t>
        </w:r>
        <w:r>
          <w:fldChar w:fldCharType="end"/>
        </w:r>
      </w:p>
    </w:sdtContent>
  </w:sdt>
  <w:p w:rsidR="00B8143F" w:rsidRDefault="00B814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3F" w:rsidRDefault="00B814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E9" w:rsidRDefault="000B4AE9" w:rsidP="00B8143F">
      <w:pPr>
        <w:spacing w:line="240" w:lineRule="auto"/>
      </w:pPr>
      <w:r>
        <w:separator/>
      </w:r>
    </w:p>
  </w:footnote>
  <w:footnote w:type="continuationSeparator" w:id="0">
    <w:p w:rsidR="000B4AE9" w:rsidRDefault="000B4AE9" w:rsidP="00B81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3F" w:rsidRDefault="00B814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3F" w:rsidRDefault="00B8143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3F" w:rsidRDefault="00B8143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77EA"/>
    <w:multiLevelType w:val="hybridMultilevel"/>
    <w:tmpl w:val="21D0A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57D9A"/>
    <w:multiLevelType w:val="hybridMultilevel"/>
    <w:tmpl w:val="8A06A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3F"/>
    <w:rsid w:val="0000645F"/>
    <w:rsid w:val="00014755"/>
    <w:rsid w:val="00015656"/>
    <w:rsid w:val="00074CDD"/>
    <w:rsid w:val="00097CE6"/>
    <w:rsid w:val="000B4AE9"/>
    <w:rsid w:val="000D680C"/>
    <w:rsid w:val="000F7A94"/>
    <w:rsid w:val="00130685"/>
    <w:rsid w:val="0018479D"/>
    <w:rsid w:val="001A6720"/>
    <w:rsid w:val="001F0008"/>
    <w:rsid w:val="001F2CA8"/>
    <w:rsid w:val="00320CA5"/>
    <w:rsid w:val="003A1407"/>
    <w:rsid w:val="003A215B"/>
    <w:rsid w:val="00404FAD"/>
    <w:rsid w:val="004105EE"/>
    <w:rsid w:val="004123E3"/>
    <w:rsid w:val="004141CE"/>
    <w:rsid w:val="00463F36"/>
    <w:rsid w:val="0053179E"/>
    <w:rsid w:val="005A2803"/>
    <w:rsid w:val="005F4B70"/>
    <w:rsid w:val="00627323"/>
    <w:rsid w:val="006814D6"/>
    <w:rsid w:val="00705332"/>
    <w:rsid w:val="007203F6"/>
    <w:rsid w:val="00724C23"/>
    <w:rsid w:val="00743F37"/>
    <w:rsid w:val="007620BC"/>
    <w:rsid w:val="00773E03"/>
    <w:rsid w:val="0079502E"/>
    <w:rsid w:val="007C7409"/>
    <w:rsid w:val="00807550"/>
    <w:rsid w:val="00895DDC"/>
    <w:rsid w:val="008B0367"/>
    <w:rsid w:val="008C7A91"/>
    <w:rsid w:val="009350F7"/>
    <w:rsid w:val="009A0165"/>
    <w:rsid w:val="009E6199"/>
    <w:rsid w:val="00AE2D3F"/>
    <w:rsid w:val="00B544FC"/>
    <w:rsid w:val="00B8143F"/>
    <w:rsid w:val="00BC431F"/>
    <w:rsid w:val="00C03306"/>
    <w:rsid w:val="00C3631F"/>
    <w:rsid w:val="00C61F04"/>
    <w:rsid w:val="00D103C4"/>
    <w:rsid w:val="00D10643"/>
    <w:rsid w:val="00D515E8"/>
    <w:rsid w:val="00D750F3"/>
    <w:rsid w:val="00D870F7"/>
    <w:rsid w:val="00DF5920"/>
    <w:rsid w:val="00E855F8"/>
    <w:rsid w:val="00E97C7F"/>
    <w:rsid w:val="00EC5807"/>
    <w:rsid w:val="00ED2D81"/>
    <w:rsid w:val="00F904AD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0165"/>
  </w:style>
  <w:style w:type="paragraph" w:styleId="berschrift1">
    <w:name w:val="heading 1"/>
    <w:basedOn w:val="Standard"/>
    <w:next w:val="Standard"/>
    <w:link w:val="berschrift1Zchn"/>
    <w:uiPriority w:val="9"/>
    <w:qFormat/>
    <w:rsid w:val="009A0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0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01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01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01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01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01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01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01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0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0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01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01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01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01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01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01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01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A01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01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01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01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A0165"/>
    <w:rPr>
      <w:b/>
      <w:bCs/>
    </w:rPr>
  </w:style>
  <w:style w:type="character" w:styleId="Hervorhebung">
    <w:name w:val="Emphasis"/>
    <w:basedOn w:val="Absatz-Standardschriftart"/>
    <w:uiPriority w:val="20"/>
    <w:qFormat/>
    <w:rsid w:val="009A0165"/>
    <w:rPr>
      <w:i/>
      <w:iCs/>
    </w:rPr>
  </w:style>
  <w:style w:type="paragraph" w:styleId="KeinLeerraum">
    <w:name w:val="No Spacing"/>
    <w:uiPriority w:val="1"/>
    <w:qFormat/>
    <w:rsid w:val="009A0165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9A0165"/>
    <w:pPr>
      <w:ind w:left="720"/>
      <w:contextualSpacing/>
    </w:pPr>
    <w:rPr>
      <w:rFonts w:eastAsia="Calibri"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9A01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A0165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01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0165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9A0165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9A0165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9A0165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A0165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A0165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A0165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01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lineorange13pt">
    <w:name w:val="Headline orange 13 pt"/>
    <w:uiPriority w:val="1"/>
    <w:qFormat/>
    <w:rsid w:val="009A0165"/>
    <w:rPr>
      <w:rFonts w:ascii="Calibri" w:hAnsi="Calibri" w:cs="Times New Roman"/>
      <w:b/>
      <w:bCs/>
      <w:i w:val="0"/>
      <w:iCs w:val="0"/>
      <w:color w:val="F38400"/>
      <w:sz w:val="26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A01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0165"/>
  </w:style>
  <w:style w:type="paragraph" w:styleId="Fuzeile">
    <w:name w:val="footer"/>
    <w:basedOn w:val="Standard"/>
    <w:link w:val="FuzeileZchn"/>
    <w:uiPriority w:val="99"/>
    <w:unhideWhenUsed/>
    <w:rsid w:val="009A01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0165"/>
  </w:style>
  <w:style w:type="character" w:styleId="Hyperlink">
    <w:name w:val="Hyperlink"/>
    <w:basedOn w:val="Absatz-Standardschriftart"/>
    <w:uiPriority w:val="99"/>
    <w:unhideWhenUsed/>
    <w:rsid w:val="009A016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165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1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165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link w:val="Formatvorlage1Zchn"/>
    <w:autoRedefine/>
    <w:qFormat/>
    <w:rsid w:val="009A0165"/>
    <w:pPr>
      <w:autoSpaceDE w:val="0"/>
      <w:autoSpaceDN w:val="0"/>
      <w:adjustRightInd w:val="0"/>
    </w:pPr>
    <w:rPr>
      <w:color w:val="000000" w:themeColor="text1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9A0165"/>
    <w:rPr>
      <w:color w:val="000000" w:themeColor="text1"/>
      <w:szCs w:val="24"/>
    </w:rPr>
  </w:style>
  <w:style w:type="paragraph" w:customStyle="1" w:styleId="Formatvorlage2">
    <w:name w:val="Formatvorlage2"/>
    <w:basedOn w:val="Standard"/>
    <w:autoRedefine/>
    <w:qFormat/>
    <w:rsid w:val="009A0165"/>
    <w:pPr>
      <w:autoSpaceDE w:val="0"/>
      <w:autoSpaceDN w:val="0"/>
      <w:adjustRightInd w:val="0"/>
    </w:pPr>
    <w:rPr>
      <w:color w:val="000000" w:themeColor="text1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A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unhideWhenUsed/>
    <w:rsid w:val="00AE2D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0165"/>
  </w:style>
  <w:style w:type="paragraph" w:styleId="berschrift1">
    <w:name w:val="heading 1"/>
    <w:basedOn w:val="Standard"/>
    <w:next w:val="Standard"/>
    <w:link w:val="berschrift1Zchn"/>
    <w:uiPriority w:val="9"/>
    <w:qFormat/>
    <w:rsid w:val="009A0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0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01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01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01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01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01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01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01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0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0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01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01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01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01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01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01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01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A01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01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01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01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A0165"/>
    <w:rPr>
      <w:b/>
      <w:bCs/>
    </w:rPr>
  </w:style>
  <w:style w:type="character" w:styleId="Hervorhebung">
    <w:name w:val="Emphasis"/>
    <w:basedOn w:val="Absatz-Standardschriftart"/>
    <w:uiPriority w:val="20"/>
    <w:qFormat/>
    <w:rsid w:val="009A0165"/>
    <w:rPr>
      <w:i/>
      <w:iCs/>
    </w:rPr>
  </w:style>
  <w:style w:type="paragraph" w:styleId="KeinLeerraum">
    <w:name w:val="No Spacing"/>
    <w:uiPriority w:val="1"/>
    <w:qFormat/>
    <w:rsid w:val="009A0165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9A0165"/>
    <w:pPr>
      <w:ind w:left="720"/>
      <w:contextualSpacing/>
    </w:pPr>
    <w:rPr>
      <w:rFonts w:eastAsia="Calibri"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9A01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A0165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01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0165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9A0165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9A0165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9A0165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A0165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A0165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A0165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01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lineorange13pt">
    <w:name w:val="Headline orange 13 pt"/>
    <w:uiPriority w:val="1"/>
    <w:qFormat/>
    <w:rsid w:val="009A0165"/>
    <w:rPr>
      <w:rFonts w:ascii="Calibri" w:hAnsi="Calibri" w:cs="Times New Roman"/>
      <w:b/>
      <w:bCs/>
      <w:i w:val="0"/>
      <w:iCs w:val="0"/>
      <w:color w:val="F38400"/>
      <w:sz w:val="26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A01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0165"/>
  </w:style>
  <w:style w:type="paragraph" w:styleId="Fuzeile">
    <w:name w:val="footer"/>
    <w:basedOn w:val="Standard"/>
    <w:link w:val="FuzeileZchn"/>
    <w:uiPriority w:val="99"/>
    <w:unhideWhenUsed/>
    <w:rsid w:val="009A01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0165"/>
  </w:style>
  <w:style w:type="character" w:styleId="Hyperlink">
    <w:name w:val="Hyperlink"/>
    <w:basedOn w:val="Absatz-Standardschriftart"/>
    <w:uiPriority w:val="99"/>
    <w:unhideWhenUsed/>
    <w:rsid w:val="009A016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165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1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165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link w:val="Formatvorlage1Zchn"/>
    <w:autoRedefine/>
    <w:qFormat/>
    <w:rsid w:val="009A0165"/>
    <w:pPr>
      <w:autoSpaceDE w:val="0"/>
      <w:autoSpaceDN w:val="0"/>
      <w:adjustRightInd w:val="0"/>
    </w:pPr>
    <w:rPr>
      <w:color w:val="000000" w:themeColor="text1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9A0165"/>
    <w:rPr>
      <w:color w:val="000000" w:themeColor="text1"/>
      <w:szCs w:val="24"/>
    </w:rPr>
  </w:style>
  <w:style w:type="paragraph" w:customStyle="1" w:styleId="Formatvorlage2">
    <w:name w:val="Formatvorlage2"/>
    <w:basedOn w:val="Standard"/>
    <w:autoRedefine/>
    <w:qFormat/>
    <w:rsid w:val="009A0165"/>
    <w:pPr>
      <w:autoSpaceDE w:val="0"/>
      <w:autoSpaceDN w:val="0"/>
      <w:adjustRightInd w:val="0"/>
    </w:pPr>
    <w:rPr>
      <w:color w:val="000000" w:themeColor="text1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A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unhideWhenUsed/>
    <w:rsid w:val="00AE2D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n-vielen-orten.de/quartier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pedition-drs.de/produkt/4-biblische-anleitungen-fuer-gruppen-und-sitzungen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i-di.de/wir-hie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B70A-7C37-4F7D-B6A9-96CB16D3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99525C9F.dotm</Template>
  <TotalTime>0</TotalTime>
  <Pages>5</Pages>
  <Words>903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BZeimantz</dc:creator>
  <cp:lastModifiedBy>Dr. Christiane Bundschuh-Schramm</cp:lastModifiedBy>
  <cp:revision>2</cp:revision>
  <dcterms:created xsi:type="dcterms:W3CDTF">2023-09-14T14:55:00Z</dcterms:created>
  <dcterms:modified xsi:type="dcterms:W3CDTF">2023-09-14T14:55:00Z</dcterms:modified>
</cp:coreProperties>
</file>